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20" w:lineRule="exact"/>
        <w:rPr>
          <w:rFonts w:ascii="黑体" w:hAnsi="黑体" w:eastAsia="黑体"/>
          <w:sz w:val="32"/>
          <w:szCs w:val="32"/>
        </w:rPr>
      </w:pPr>
      <w:r>
        <w:rPr>
          <w:rFonts w:ascii="黑体" w:hAnsi="黑体" w:eastAsia="黑体"/>
          <w:sz w:val="32"/>
          <w:szCs w:val="32"/>
        </w:rPr>
        <w:t>附件</w:t>
      </w:r>
      <w:r>
        <w:rPr>
          <w:rFonts w:hint="eastAsia" w:ascii="黑体" w:hAnsi="黑体" w:eastAsia="黑体"/>
          <w:sz w:val="32"/>
          <w:szCs w:val="32"/>
        </w:rPr>
        <w:t>1</w:t>
      </w:r>
    </w:p>
    <w:p>
      <w:pPr>
        <w:spacing w:beforeLines="150" w:after="0"/>
        <w:jc w:val="center"/>
        <w:rPr>
          <w:rFonts w:hint="eastAsia" w:ascii="黑体" w:hAnsi="黑体" w:eastAsia="黑体"/>
          <w:sz w:val="36"/>
          <w:szCs w:val="36"/>
          <w:lang w:val="en-US" w:eastAsia="zh-CN"/>
        </w:rPr>
      </w:pPr>
      <w:r>
        <w:rPr>
          <w:rFonts w:hint="eastAsia" w:ascii="黑体" w:hAnsi="黑体" w:eastAsia="黑体"/>
          <w:sz w:val="36"/>
          <w:szCs w:val="36"/>
          <w:lang w:val="en-US" w:eastAsia="zh-CN"/>
        </w:rPr>
        <w:t>陕西地建-西安交大土地工程与人居环境技术创新</w:t>
      </w:r>
    </w:p>
    <w:p>
      <w:pPr>
        <w:keepNext w:val="0"/>
        <w:keepLines w:val="0"/>
        <w:pageBreakBefore w:val="0"/>
        <w:widowControl/>
        <w:kinsoku/>
        <w:wordWrap/>
        <w:overflowPunct/>
        <w:topLinePunct w:val="0"/>
        <w:autoSpaceDE/>
        <w:autoSpaceDN/>
        <w:bidi w:val="0"/>
        <w:adjustRightInd w:val="0"/>
        <w:snapToGrid w:val="0"/>
        <w:spacing w:before="181" w:beforeLines="50" w:after="541" w:afterLines="150"/>
        <w:jc w:val="center"/>
        <w:textAlignment w:val="auto"/>
        <w:rPr>
          <w:rFonts w:ascii="黑体" w:hAnsi="黑体" w:eastAsia="黑体"/>
          <w:sz w:val="36"/>
          <w:szCs w:val="36"/>
        </w:rPr>
      </w:pPr>
      <w:r>
        <w:rPr>
          <w:rFonts w:hint="eastAsia" w:ascii="黑体" w:hAnsi="黑体" w:eastAsia="黑体"/>
          <w:sz w:val="36"/>
          <w:szCs w:val="36"/>
          <w:lang w:val="en-US" w:eastAsia="zh-CN"/>
        </w:rPr>
        <w:t>中心</w:t>
      </w:r>
      <w:r>
        <w:rPr>
          <w:rFonts w:hint="eastAsia" w:ascii="黑体" w:hAnsi="黑体" w:eastAsia="黑体"/>
          <w:sz w:val="36"/>
          <w:szCs w:val="36"/>
        </w:rPr>
        <w:t>开放基金资助项目</w:t>
      </w:r>
    </w:p>
    <w:tbl>
      <w:tblPr>
        <w:tblStyle w:val="5"/>
        <w:tblW w:w="507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4316"/>
        <w:gridCol w:w="1460"/>
        <w:gridCol w:w="2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418" w:type="pct"/>
            <w:vAlign w:val="center"/>
          </w:tcPr>
          <w:p>
            <w:pPr>
              <w:spacing w:after="0" w:line="220" w:lineRule="atLeast"/>
              <w:jc w:val="center"/>
              <w:rPr>
                <w:rFonts w:hint="eastAsia" w:ascii="黑体" w:hAnsi="黑体" w:eastAsia="黑体"/>
                <w:sz w:val="24"/>
                <w:szCs w:val="24"/>
                <w:lang w:val="en-US" w:eastAsia="zh-CN"/>
              </w:rPr>
            </w:pPr>
            <w:r>
              <w:rPr>
                <w:rFonts w:hint="eastAsia" w:ascii="黑体" w:hAnsi="黑体" w:eastAsia="黑体"/>
                <w:sz w:val="24"/>
                <w:szCs w:val="24"/>
                <w:lang w:val="en-US" w:eastAsia="zh-CN"/>
              </w:rPr>
              <w:t>序号</w:t>
            </w:r>
          </w:p>
        </w:tc>
        <w:tc>
          <w:tcPr>
            <w:tcW w:w="2492" w:type="pct"/>
            <w:vAlign w:val="center"/>
          </w:tcPr>
          <w:p>
            <w:pPr>
              <w:spacing w:after="0" w:line="220" w:lineRule="atLeast"/>
              <w:jc w:val="center"/>
              <w:rPr>
                <w:rFonts w:ascii="黑体" w:hAnsi="黑体" w:eastAsia="黑体"/>
                <w:sz w:val="24"/>
                <w:szCs w:val="24"/>
              </w:rPr>
            </w:pPr>
            <w:r>
              <w:rPr>
                <w:rFonts w:ascii="黑体" w:hAnsi="黑体" w:eastAsia="黑体"/>
                <w:sz w:val="24"/>
                <w:szCs w:val="24"/>
              </w:rPr>
              <w:t>项目名称</w:t>
            </w:r>
          </w:p>
        </w:tc>
        <w:tc>
          <w:tcPr>
            <w:tcW w:w="843" w:type="pct"/>
            <w:vAlign w:val="center"/>
          </w:tcPr>
          <w:p>
            <w:pPr>
              <w:spacing w:after="0" w:line="220" w:lineRule="atLeast"/>
              <w:jc w:val="center"/>
              <w:rPr>
                <w:rFonts w:ascii="黑体" w:hAnsi="黑体" w:eastAsia="黑体"/>
                <w:sz w:val="24"/>
                <w:szCs w:val="24"/>
              </w:rPr>
            </w:pPr>
            <w:r>
              <w:rPr>
                <w:rFonts w:ascii="黑体" w:hAnsi="黑体" w:eastAsia="黑体"/>
                <w:sz w:val="24"/>
                <w:szCs w:val="24"/>
              </w:rPr>
              <w:t>项目负责人</w:t>
            </w:r>
          </w:p>
        </w:tc>
        <w:tc>
          <w:tcPr>
            <w:tcW w:w="1246" w:type="pct"/>
            <w:vAlign w:val="center"/>
          </w:tcPr>
          <w:p>
            <w:pPr>
              <w:spacing w:after="0" w:line="220" w:lineRule="atLeast"/>
              <w:jc w:val="center"/>
              <w:rPr>
                <w:rFonts w:ascii="黑体" w:hAnsi="黑体" w:eastAsia="黑体"/>
                <w:sz w:val="24"/>
                <w:szCs w:val="24"/>
              </w:rPr>
            </w:pPr>
            <w:r>
              <w:rPr>
                <w:rFonts w:ascii="黑体" w:hAnsi="黑体" w:eastAsia="黑体"/>
                <w:sz w:val="24"/>
                <w:szCs w:val="24"/>
              </w:rPr>
              <w:t>项目承担单位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1</w:t>
            </w:r>
          </w:p>
        </w:tc>
        <w:tc>
          <w:tcPr>
            <w:tcW w:w="2492"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基于活化煤矸石的矿区生态回填及修复技术研究</w:t>
            </w:r>
          </w:p>
        </w:tc>
        <w:tc>
          <w:tcPr>
            <w:tcW w:w="843"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刘 刚</w:t>
            </w:r>
          </w:p>
        </w:tc>
        <w:tc>
          <w:tcPr>
            <w:tcW w:w="1246"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2</w:t>
            </w:r>
          </w:p>
        </w:tc>
        <w:tc>
          <w:tcPr>
            <w:tcW w:w="2492"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煤基和生物基大宗固废制备土壤调理剂提升农田质量的技术研发与应用示范</w:t>
            </w:r>
          </w:p>
        </w:tc>
        <w:tc>
          <w:tcPr>
            <w:tcW w:w="843"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徐芙清</w:t>
            </w:r>
          </w:p>
        </w:tc>
        <w:tc>
          <w:tcPr>
            <w:tcW w:w="1246"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西安交通大学人居学院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3</w:t>
            </w:r>
          </w:p>
        </w:tc>
        <w:tc>
          <w:tcPr>
            <w:tcW w:w="2492"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基于煅烧煤矸石粉的新型生态护坡材料</w:t>
            </w:r>
          </w:p>
        </w:tc>
        <w:tc>
          <w:tcPr>
            <w:tcW w:w="843"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陈晓光</w:t>
            </w:r>
          </w:p>
        </w:tc>
        <w:tc>
          <w:tcPr>
            <w:tcW w:w="1246"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西安交通大学人居学院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4</w:t>
            </w:r>
          </w:p>
        </w:tc>
        <w:tc>
          <w:tcPr>
            <w:tcW w:w="2492"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煤矸石和砒砂岩基土体调节剂对盐渍土/沙土调控机理及其肥力恢复机制研究</w:t>
            </w:r>
          </w:p>
        </w:tc>
        <w:tc>
          <w:tcPr>
            <w:tcW w:w="843"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李进</w:t>
            </w:r>
          </w:p>
        </w:tc>
        <w:tc>
          <w:tcPr>
            <w:tcW w:w="1246"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5</w:t>
            </w:r>
          </w:p>
        </w:tc>
        <w:tc>
          <w:tcPr>
            <w:tcW w:w="2492"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盐碱地淋滤修复盐-水资源光热驱动回收利用关键技术开发与工程示范</w:t>
            </w:r>
          </w:p>
        </w:tc>
        <w:tc>
          <w:tcPr>
            <w:tcW w:w="843"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王文东</w:t>
            </w:r>
          </w:p>
        </w:tc>
        <w:tc>
          <w:tcPr>
            <w:tcW w:w="1246"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6</w:t>
            </w:r>
          </w:p>
        </w:tc>
        <w:tc>
          <w:tcPr>
            <w:tcW w:w="2492"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“双碳” 和“净地” 双重目标下污染农田增碳培肥与生态修复关键技术研究与应用</w:t>
            </w:r>
          </w:p>
        </w:tc>
        <w:tc>
          <w:tcPr>
            <w:tcW w:w="843"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杨世通</w:t>
            </w:r>
          </w:p>
        </w:tc>
        <w:tc>
          <w:tcPr>
            <w:tcW w:w="1246"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7</w:t>
            </w:r>
          </w:p>
        </w:tc>
        <w:tc>
          <w:tcPr>
            <w:tcW w:w="2492"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耕地重金属污染生物修复协同土壤碳库提升理论与技术研究</w:t>
            </w:r>
          </w:p>
        </w:tc>
        <w:tc>
          <w:tcPr>
            <w:tcW w:w="843"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梁继东</w:t>
            </w:r>
          </w:p>
        </w:tc>
        <w:tc>
          <w:tcPr>
            <w:tcW w:w="1246"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西安交通大学人居学院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8</w:t>
            </w:r>
          </w:p>
        </w:tc>
        <w:tc>
          <w:tcPr>
            <w:tcW w:w="2492"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“双碳”背景下污泥炭对土体改良及作物生长的促进研究</w:t>
            </w:r>
          </w:p>
        </w:tc>
        <w:tc>
          <w:tcPr>
            <w:tcW w:w="843"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郑春莉</w:t>
            </w:r>
          </w:p>
        </w:tc>
        <w:tc>
          <w:tcPr>
            <w:tcW w:w="1246"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西安交通大学能源与动力工程学院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9</w:t>
            </w:r>
          </w:p>
        </w:tc>
        <w:tc>
          <w:tcPr>
            <w:tcW w:w="2492"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植被恢复对陕北延河流域水碳服务供需关系的影响及优化研究</w:t>
            </w:r>
          </w:p>
        </w:tc>
        <w:tc>
          <w:tcPr>
            <w:tcW w:w="843"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邱临静</w:t>
            </w:r>
          </w:p>
        </w:tc>
        <w:tc>
          <w:tcPr>
            <w:tcW w:w="1246"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西安交通大学人居学院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10</w:t>
            </w:r>
          </w:p>
        </w:tc>
        <w:tc>
          <w:tcPr>
            <w:tcW w:w="2492"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陕北地区入黄支流山水林田湖草沙生态修复机制及关键修复技术研究</w:t>
            </w:r>
          </w:p>
        </w:tc>
        <w:tc>
          <w:tcPr>
            <w:tcW w:w="843"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魏欣</w:t>
            </w:r>
          </w:p>
        </w:tc>
        <w:tc>
          <w:tcPr>
            <w:tcW w:w="1246"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11</w:t>
            </w:r>
          </w:p>
        </w:tc>
        <w:tc>
          <w:tcPr>
            <w:tcW w:w="2492"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石油污染土壤修复技术研究</w:t>
            </w:r>
          </w:p>
        </w:tc>
        <w:tc>
          <w:tcPr>
            <w:tcW w:w="843"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刘宗宽</w:t>
            </w:r>
          </w:p>
        </w:tc>
        <w:tc>
          <w:tcPr>
            <w:tcW w:w="1246"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西安交通大学人居环境与建筑工程学院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12</w:t>
            </w:r>
          </w:p>
        </w:tc>
        <w:tc>
          <w:tcPr>
            <w:tcW w:w="2492"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改性PBAT/PLA共混物可生物降解地膜的研发与环保性能评价</w:t>
            </w:r>
          </w:p>
        </w:tc>
        <w:tc>
          <w:tcPr>
            <w:tcW w:w="843"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韩 杰</w:t>
            </w:r>
          </w:p>
        </w:tc>
        <w:tc>
          <w:tcPr>
            <w:tcW w:w="1246"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西安交通大学人居环境与建筑工程学院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13</w:t>
            </w:r>
          </w:p>
        </w:tc>
        <w:tc>
          <w:tcPr>
            <w:tcW w:w="2492"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基于太阳能的西安地区近零碳农村住宅优化设计研究</w:t>
            </w:r>
          </w:p>
        </w:tc>
        <w:tc>
          <w:tcPr>
            <w:tcW w:w="843"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甄蒙</w:t>
            </w:r>
          </w:p>
        </w:tc>
        <w:tc>
          <w:tcPr>
            <w:tcW w:w="1246" w:type="pct"/>
            <w:vAlign w:val="center"/>
          </w:tcPr>
          <w:p>
            <w:pPr>
              <w:spacing w:after="0"/>
              <w:jc w:val="center"/>
              <w:rPr>
                <w:rFonts w:hint="eastAsia" w:ascii="仿宋" w:hAnsi="仿宋" w:eastAsia="仿宋"/>
                <w:color w:val="000000"/>
                <w:sz w:val="24"/>
                <w:szCs w:val="24"/>
              </w:rPr>
            </w:pPr>
            <w:r>
              <w:rPr>
                <w:rFonts w:hint="eastAsia" w:ascii="仿宋" w:hAnsi="仿宋" w:eastAsia="仿宋"/>
                <w:color w:val="000000"/>
                <w:sz w:val="24"/>
                <w:szCs w:val="24"/>
                <w:lang w:val="en-US" w:eastAsia="zh-CN"/>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14</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基于生态沟渠-生物滞留的农田径流面源污染控制技术研究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张兆鑫</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陕西地建土地工程技术研究院有限责任公司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15</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基于生态材料与耐盐作物互作调控的耕地盐渍化阻控与修复技术研发</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曹婷婷</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陕西地建土地工程技术研究院有限责任公司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16</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设施蔬菜尾菜资源化利用关键技术研究及产业化应用</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张璐璐</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陕西地建土地工程技术转化中心有限公司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17</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现代黄土旱区耕地质量退化机制及其优质耕作层构建关键技术研究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刘哲</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陕西地建土地工程技术研究院有限责任公司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18</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农村污水强化处理技术与尾水景观营造及灌溉资源化利用研究与应用</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荣懿</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陕西地建土地工程技术研究院有限责任公司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19</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“双碳”背景下高标准农田建设模式及耕地质量提升路径研究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贺伟</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陕西地建关天投资建设有限公司、西安理工大学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20</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重金属铅、镉污染废弃地生态修复技术研发与机理研究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卢楠</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陕西地建土地工程技术研究院有限责任公司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21</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陕北防沙带矿区生态修复与净土关键技术研究应用</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李刚</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陕西地建土地工程技术转化中心有限公司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22</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县域空间下关中地区城乡融合发展与乡村振兴路径研究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刘思琪</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陕西地建土地工程技术研究院，长安大学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23</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陕西省县域村落人居环境适宜性评价及提升策略研究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王晶</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陕西地建土地工程技术研究院有限责任公司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24</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陕北旱区人-地-生耦合作用机理与风险管控研究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张庭瑜</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陕西地建土地工程技术研究院有限责任公司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25</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default" w:ascii="仿宋" w:hAnsi="仿宋" w:eastAsia="仿宋"/>
                <w:color w:val="000000"/>
                <w:sz w:val="24"/>
                <w:szCs w:val="24"/>
                <w:lang w:val="en-US" w:eastAsia="zh-CN"/>
              </w:rPr>
              <w:t>基于生态位理论的高标准农田建设适宜性评价及分区方法研究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徐通</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default" w:ascii="仿宋" w:hAnsi="仿宋" w:eastAsia="仿宋"/>
                <w:color w:val="000000"/>
                <w:sz w:val="24"/>
                <w:szCs w:val="24"/>
                <w:lang w:val="en-US" w:eastAsia="zh-CN"/>
              </w:rPr>
              <w:t>中陕高标准农田建设集团有限公司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26</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植物与微生物对复合重金属污染土壤的抗性及联合修复机理研究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张露</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陕西地建土地工程技术研究院有限责任公司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27</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磁性复合材料的制备及在土壤修复应用研究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王雪</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陕西地建土地工程技术研究院有限责任公司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28</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土地工程背景下榆林市土地利用变化模拟预测及生境演变研究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花东文</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陕西地建土地工程技术研究院有限责任公司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29</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基质营养土研制及其在矿区土壤改良中的应用方法与作用机理</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夏龙飞</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陕西地建土地工程技术研究院有限责任公司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30</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根系内生真菌协助油菜重金属铀镉吸收富集的作用机制及其开发应用</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陈艳龙</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西北工业大学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31</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腐殖质协同植物介导根际异化金属还原菌还原酸性矿山土壤重金属的机制研究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王辉</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西安理工大学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32</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基于富活素全营养水溶肥的高标准农田绿色构建技术研发与应用</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简金世</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西北农林科技大学水土保持研究所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33</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土壤微食物网介导的外源有机物料对黄土高原农田土壤有机碳的调控机制及措施</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黄菁华</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西北农林科技大学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34</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外源信号分子强化蓖麻修复 Cd 污染土壤的机制研究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黄国勇</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华南师范大学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35</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共同富裕目标下乡村振兴的机制、路径与对策研究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侯学华</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西北政法大学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36</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基于土壤地球化学的铜川市耕地质量研究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刘军锋</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长安大学资源学院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37</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城乡共同富裕的经济法律制度研究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倪楠</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西北政法大学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38</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有机肥配施对稻田土壤环境质量及碳固存的影响及驱动机制研究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蔡琳琳</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西南科技大学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39</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以秸秆为碳源的有机肥生产及其配套栽培技术研究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王学春</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西南科技大学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40</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农村有机固废厌氧发酵耦合微生物合成聚羟基脂肪酸酯（PHA）关键技术集成与应用</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丁大虎</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南京农业大学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41</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秦巴山区乡村生产空间重构机制与实现路径</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李晨曦</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西安建筑科技大学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default" w:ascii="仿宋" w:hAnsi="仿宋" w:eastAsia="仿宋"/>
                <w:color w:val="000000"/>
                <w:sz w:val="24"/>
                <w:szCs w:val="24"/>
                <w:lang w:val="en-US" w:eastAsia="zh-CN"/>
              </w:rPr>
            </w:pPr>
            <w:r>
              <w:rPr>
                <w:rFonts w:hint="eastAsia" w:ascii="仿宋" w:hAnsi="仿宋" w:eastAsia="仿宋"/>
                <w:color w:val="000000"/>
                <w:sz w:val="24"/>
                <w:szCs w:val="24"/>
                <w:lang w:val="en-US" w:eastAsia="zh-CN"/>
              </w:rPr>
              <w:t>42</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秦岭尾矿区重金属污染土壤的生物结皮修复技术研究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卜崇峰</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西北农林科技大学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default" w:ascii="仿宋" w:hAnsi="仿宋" w:eastAsia="仿宋"/>
                <w:color w:val="000000"/>
                <w:sz w:val="24"/>
                <w:szCs w:val="24"/>
                <w:lang w:val="en-US" w:eastAsia="zh-CN"/>
              </w:rPr>
            </w:pPr>
            <w:r>
              <w:rPr>
                <w:rFonts w:hint="eastAsia" w:ascii="仿宋" w:hAnsi="仿宋" w:eastAsia="仿宋"/>
                <w:color w:val="000000"/>
                <w:sz w:val="24"/>
                <w:szCs w:val="24"/>
                <w:lang w:val="en-US" w:eastAsia="zh-CN"/>
              </w:rPr>
              <w:t>43</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不同施肥措施下黄土高原农田土壤微生物组调控土壤健康的作用机制</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周煜杰</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西北工业大学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8" w:type="pct"/>
            <w:vAlign w:val="center"/>
          </w:tcPr>
          <w:p>
            <w:pPr>
              <w:spacing w:after="0"/>
              <w:jc w:val="center"/>
              <w:rPr>
                <w:rFonts w:hint="default" w:ascii="仿宋" w:hAnsi="仿宋" w:eastAsia="仿宋"/>
                <w:color w:val="000000"/>
                <w:sz w:val="24"/>
                <w:szCs w:val="24"/>
                <w:lang w:val="en-US" w:eastAsia="zh-CN"/>
              </w:rPr>
            </w:pPr>
            <w:r>
              <w:rPr>
                <w:rFonts w:hint="eastAsia" w:ascii="仿宋" w:hAnsi="仿宋" w:eastAsia="仿宋"/>
                <w:color w:val="000000"/>
                <w:sz w:val="24"/>
                <w:szCs w:val="24"/>
                <w:lang w:val="en-US" w:eastAsia="zh-CN"/>
              </w:rPr>
              <w:t>44</w:t>
            </w:r>
          </w:p>
        </w:tc>
        <w:tc>
          <w:tcPr>
            <w:tcW w:w="2492" w:type="pct"/>
            <w:vAlign w:val="center"/>
          </w:tcPr>
          <w:p>
            <w:pPr>
              <w:spacing w:after="0"/>
              <w:jc w:val="center"/>
              <w:rPr>
                <w:rFonts w:hint="eastAsia" w:ascii="仿宋" w:hAnsi="仿宋" w:eastAsia="仿宋"/>
                <w:color w:val="000000"/>
                <w:sz w:val="24"/>
                <w:szCs w:val="24"/>
                <w:lang w:val="en-US" w:eastAsia="zh-CN"/>
              </w:rPr>
            </w:pPr>
            <w:r>
              <w:rPr>
                <w:rFonts w:hint="default" w:ascii="仿宋" w:hAnsi="仿宋" w:eastAsia="仿宋"/>
                <w:color w:val="000000"/>
                <w:sz w:val="24"/>
                <w:szCs w:val="24"/>
                <w:lang w:val="en-US" w:eastAsia="zh-CN"/>
              </w:rPr>
              <w:t>中国生态恢复工程的城市气候缓解贡献评估</w:t>
            </w:r>
          </w:p>
        </w:tc>
        <w:tc>
          <w:tcPr>
            <w:tcW w:w="843" w:type="pct"/>
            <w:vAlign w:val="center"/>
          </w:tcPr>
          <w:p>
            <w:pPr>
              <w:spacing w:after="0"/>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李子豪</w:t>
            </w:r>
          </w:p>
        </w:tc>
        <w:tc>
          <w:tcPr>
            <w:tcW w:w="1246" w:type="pct"/>
            <w:vAlign w:val="center"/>
          </w:tcPr>
          <w:p>
            <w:pPr>
              <w:spacing w:after="0"/>
              <w:jc w:val="center"/>
              <w:rPr>
                <w:rFonts w:hint="eastAsia" w:ascii="仿宋" w:hAnsi="仿宋" w:eastAsia="仿宋"/>
                <w:color w:val="000000"/>
                <w:sz w:val="24"/>
                <w:szCs w:val="24"/>
                <w:lang w:val="en-US" w:eastAsia="zh-CN"/>
              </w:rPr>
            </w:pPr>
            <w:r>
              <w:rPr>
                <w:rFonts w:hint="default" w:ascii="仿宋" w:hAnsi="仿宋" w:eastAsia="仿宋"/>
                <w:color w:val="000000"/>
                <w:sz w:val="24"/>
                <w:szCs w:val="24"/>
                <w:lang w:val="en-US" w:eastAsia="zh-CN"/>
              </w:rPr>
              <w:t>南京信息工程大学</w:t>
            </w:r>
          </w:p>
        </w:tc>
      </w:tr>
    </w:tbl>
    <w:p>
      <w:pPr>
        <w:spacing w:line="220" w:lineRule="atLeast"/>
      </w:pPr>
      <w:bookmarkStart w:id="0" w:name="_GoBack"/>
      <w:bookmarkEnd w:id="0"/>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